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255A" w14:textId="51F1BF8A" w:rsidR="00DE7297" w:rsidRDefault="00200BB9"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Deer Ridge Property Owners Monthly Meeting - 12/3/2013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Time Started: 7:05 pm, Adjourned: 8:00 pm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Board Members present: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a.   President: Schuyler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Schupbach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b.   Treasurer: David Webb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c.   Compliance: Gary Ash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d.   Member: Anna Paxton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e.   Secretary - Cory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Muhlbauer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Common Areas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Hintz septic problem - the contractor which was previously engaged is no longer interested in assisting.  Eric and Schuyler will attempt to contact other contractors.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Mowing contract - Garriott will continue next year for the same annual fee.  Additional 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revsions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to the contract will be discussed with Mr. Garriott before finalizing.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Treasurer's Report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Heartland checking balance $16,080.12     Special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assesment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account value $176,770.54.  $406.37 received from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Chilcote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foreclosure. 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IEPA Update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No update related to IEPA situation.  Assessment will be refunded back to homeowners while other solutions are being investigated - technology is advancing in this area so additional options which weren't previously explored may now be feasible.  At the annual meeting, we will discuss pilot options and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potnetial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funding which would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likley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be included within the annual dues.  David will work on refund checks with a target of refunding within the next 30 days. 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Annual Meeting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Meeting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will be held the third Sunday of February (2/16).  The Board is still in need of additional members - please consider volunteering.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Covenants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The board has received complaints regarding three new sheds which do not appear to comply with the covenants.  Letters will be sent to all three 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lastRenderedPageBreak/>
        <w:t>homeowners requesting that they provide support to the Board that their sheds do comply with the covenants.</w:t>
      </w:r>
    </w:p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B9"/>
    <w:rsid w:val="00186B71"/>
    <w:rsid w:val="001F726A"/>
    <w:rsid w:val="00200BB9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113E"/>
  <w15:chartTrackingRefBased/>
  <w15:docId w15:val="{13511E76-3155-458D-A3FF-5EA11C4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2020-04-17T02:19:00Z</dcterms:created>
  <dcterms:modified xsi:type="dcterms:W3CDTF">2020-04-17T02:20:00Z</dcterms:modified>
</cp:coreProperties>
</file>